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Absender:</w:t>
      </w:r>
    </w:p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Dezember 2018 </w:t>
      </w:r>
    </w:p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Versorgungsanstalt des </w:t>
      </w:r>
    </w:p>
    <w:p w:rsidR="00A24082" w:rsidRDefault="00A24082" w:rsidP="00A24082">
      <w:pPr>
        <w:tabs>
          <w:tab w:val="left" w:pos="6621"/>
        </w:tabs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  <w:r>
        <w:rPr>
          <w:rFonts w:ascii="Arial" w:hAnsi="Arial" w:cs="Arial"/>
        </w:rPr>
        <w:t>Bundes und der Länder</w:t>
      </w:r>
    </w:p>
    <w:p w:rsidR="00A24082" w:rsidRDefault="00A24082" w:rsidP="00A24082">
      <w:pPr>
        <w:tabs>
          <w:tab w:val="left" w:pos="6565"/>
          <w:tab w:val="left" w:pos="8033"/>
        </w:tabs>
        <w:autoSpaceDE w:val="0"/>
        <w:autoSpaceDN w:val="0"/>
        <w:adjustRightInd w:val="0"/>
        <w:spacing w:after="0" w:line="2" w:lineRule="atLeast"/>
        <w:rPr>
          <w:rFonts w:ascii="Arial" w:hAnsi="Arial" w:cs="Arial"/>
        </w:rPr>
      </w:pPr>
      <w:r>
        <w:rPr>
          <w:rFonts w:ascii="Arial" w:hAnsi="Arial" w:cs="Arial"/>
        </w:rPr>
        <w:t>Hans-Thoma-Str. 19</w:t>
      </w:r>
    </w:p>
    <w:p w:rsidR="00A24082" w:rsidRDefault="00A24082" w:rsidP="00A24082">
      <w:pPr>
        <w:tabs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76133 Karlsruhe</w:t>
      </w:r>
    </w:p>
    <w:p w:rsidR="00A24082" w:rsidRDefault="00A24082" w:rsidP="00A24082">
      <w:pPr>
        <w:tabs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4082" w:rsidRDefault="00A24082" w:rsidP="00A24082">
      <w:pPr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4082" w:rsidRDefault="00A24082" w:rsidP="00A24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Ihr Zeichen: ..................................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der Startgutschrift 2018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hatten mir im Herbst 2018 eine Mitteilung mit der Überprüfung der Startgutschrift nach der Neuregelung 2017 übersandt. Gegen die vorgenannte Neuberechnung der Start</w:t>
      </w:r>
      <w:r>
        <w:rPr>
          <w:rFonts w:ascii="Arial" w:hAnsi="Arial" w:cs="Arial"/>
          <w:sz w:val="24"/>
          <w:szCs w:val="24"/>
        </w:rPr>
        <w:softHyphen/>
        <w:t>gut</w:t>
      </w:r>
      <w:r>
        <w:rPr>
          <w:rFonts w:ascii="Arial" w:hAnsi="Arial" w:cs="Arial"/>
          <w:sz w:val="24"/>
          <w:szCs w:val="24"/>
        </w:rPr>
        <w:softHyphen/>
        <w:t xml:space="preserve">schrift erhebe ich eine </w:t>
      </w:r>
      <w:r>
        <w:rPr>
          <w:rFonts w:ascii="Arial" w:hAnsi="Arial" w:cs="Arial"/>
          <w:b/>
          <w:bCs/>
          <w:sz w:val="24"/>
          <w:szCs w:val="24"/>
        </w:rPr>
        <w:t>Beanstandung.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Beanstandung begründe ich wie folgt: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Die Anhebung des Anteilssatzes auf bis zu 2,5% einer fiktiven Vollversorgung be</w:t>
      </w:r>
      <w:r>
        <w:rPr>
          <w:rFonts w:ascii="Arial" w:hAnsi="Arial" w:cs="Arial"/>
          <w:sz w:val="20"/>
          <w:szCs w:val="20"/>
        </w:rPr>
        <w:softHyphen/>
        <w:t>nach</w:t>
      </w:r>
      <w:r>
        <w:rPr>
          <w:rFonts w:ascii="Arial" w:hAnsi="Arial" w:cs="Arial"/>
          <w:sz w:val="20"/>
          <w:szCs w:val="20"/>
        </w:rPr>
        <w:softHyphen/>
        <w:t>tei</w:t>
      </w:r>
      <w:r>
        <w:rPr>
          <w:rFonts w:ascii="Arial" w:hAnsi="Arial" w:cs="Arial"/>
          <w:sz w:val="20"/>
          <w:szCs w:val="20"/>
        </w:rPr>
        <w:softHyphen/>
        <w:t>ligt gleich</w:t>
      </w:r>
      <w:r>
        <w:rPr>
          <w:rFonts w:ascii="Arial" w:hAnsi="Arial" w:cs="Arial"/>
          <w:sz w:val="20"/>
          <w:szCs w:val="20"/>
        </w:rPr>
        <w:softHyphen/>
        <w:t>heits</w:t>
      </w:r>
      <w:r>
        <w:rPr>
          <w:rFonts w:ascii="Arial" w:hAnsi="Arial" w:cs="Arial"/>
          <w:sz w:val="20"/>
          <w:szCs w:val="20"/>
        </w:rPr>
        <w:softHyphen/>
        <w:t>wi</w:t>
      </w:r>
      <w:r>
        <w:rPr>
          <w:rFonts w:ascii="Arial" w:hAnsi="Arial" w:cs="Arial"/>
          <w:sz w:val="20"/>
          <w:szCs w:val="20"/>
        </w:rPr>
        <w:softHyphen/>
        <w:t>drig altersdiskriminierend Früheinsteiger und Unterbrecher die z.B. einmal kurz am Anfang ihrer Le</w:t>
      </w:r>
      <w:r>
        <w:rPr>
          <w:rFonts w:ascii="Arial" w:hAnsi="Arial" w:cs="Arial"/>
          <w:sz w:val="20"/>
          <w:szCs w:val="20"/>
        </w:rPr>
        <w:softHyphen/>
        <w:t>ben</w:t>
      </w:r>
      <w:r>
        <w:rPr>
          <w:rFonts w:ascii="Arial" w:hAnsi="Arial" w:cs="Arial"/>
          <w:sz w:val="20"/>
          <w:szCs w:val="20"/>
        </w:rPr>
        <w:softHyphen/>
        <w:t>sar</w:t>
      </w:r>
      <w:r>
        <w:rPr>
          <w:rFonts w:ascii="Arial" w:hAnsi="Arial" w:cs="Arial"/>
          <w:sz w:val="20"/>
          <w:szCs w:val="20"/>
        </w:rPr>
        <w:softHyphen/>
        <w:t>beits</w:t>
      </w:r>
      <w:r>
        <w:rPr>
          <w:rFonts w:ascii="Arial" w:hAnsi="Arial" w:cs="Arial"/>
          <w:sz w:val="20"/>
          <w:szCs w:val="20"/>
        </w:rPr>
        <w:softHyphen/>
        <w:t>zeit kurz VBL-versicherungspflichtig gearbeitet haben, denn sie erhalten für ihre Arbeit als Ent</w:t>
      </w:r>
      <w:r>
        <w:rPr>
          <w:rFonts w:ascii="Arial" w:hAnsi="Arial" w:cs="Arial"/>
          <w:sz w:val="20"/>
          <w:szCs w:val="20"/>
        </w:rPr>
        <w:softHyphen/>
        <w:t>gelt bei einer späteren erneuten Beschäftigung dauerhaft nur einen ge</w:t>
      </w:r>
      <w:r>
        <w:rPr>
          <w:rFonts w:ascii="Arial" w:hAnsi="Arial" w:cs="Arial"/>
          <w:sz w:val="20"/>
          <w:szCs w:val="20"/>
        </w:rPr>
        <w:softHyphen/>
        <w:t>rin</w:t>
      </w:r>
      <w:r>
        <w:rPr>
          <w:rFonts w:ascii="Arial" w:hAnsi="Arial" w:cs="Arial"/>
          <w:sz w:val="20"/>
          <w:szCs w:val="20"/>
        </w:rPr>
        <w:softHyphen/>
        <w:t>ge</w:t>
      </w:r>
      <w:r>
        <w:rPr>
          <w:rFonts w:ascii="Arial" w:hAnsi="Arial" w:cs="Arial"/>
          <w:sz w:val="20"/>
          <w:szCs w:val="20"/>
        </w:rPr>
        <w:softHyphen/>
        <w:t>ren Ver</w:t>
      </w:r>
      <w:r>
        <w:rPr>
          <w:rFonts w:ascii="Arial" w:hAnsi="Arial" w:cs="Arial"/>
          <w:sz w:val="20"/>
          <w:szCs w:val="20"/>
        </w:rPr>
        <w:softHyphen/>
        <w:t>sor</w:t>
      </w:r>
      <w:r>
        <w:rPr>
          <w:rFonts w:ascii="Arial" w:hAnsi="Arial" w:cs="Arial"/>
          <w:sz w:val="20"/>
          <w:szCs w:val="20"/>
        </w:rPr>
        <w:softHyphen/>
        <w:t>gungs</w:t>
      </w:r>
      <w:r>
        <w:rPr>
          <w:rFonts w:ascii="Arial" w:hAnsi="Arial" w:cs="Arial"/>
          <w:sz w:val="20"/>
          <w:szCs w:val="20"/>
        </w:rPr>
        <w:softHyphen/>
        <w:t>an</w:t>
      </w:r>
      <w:r>
        <w:rPr>
          <w:rFonts w:ascii="Arial" w:hAnsi="Arial" w:cs="Arial"/>
          <w:sz w:val="20"/>
          <w:szCs w:val="20"/>
        </w:rPr>
        <w:softHyphen/>
        <w:t>spruch.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Durch die Umstellung 2001 wurde die endgehaltsbezogene Gesamtversorgung mit Halbanrechnung von Ausbildungs- und Vordienstzeiten (z.B. auch für Ersatz- und Wehrdienst, für Nach</w:t>
      </w:r>
      <w:r>
        <w:rPr>
          <w:rFonts w:ascii="Arial" w:hAnsi="Arial" w:cs="Arial"/>
          <w:sz w:val="20"/>
          <w:szCs w:val="20"/>
        </w:rPr>
        <w:softHyphen/>
        <w:t>ver</w:t>
      </w:r>
      <w:r>
        <w:rPr>
          <w:rFonts w:ascii="Arial" w:hAnsi="Arial" w:cs="Arial"/>
          <w:sz w:val="20"/>
          <w:szCs w:val="20"/>
        </w:rPr>
        <w:softHyphen/>
        <w:t>si</w:t>
      </w:r>
      <w:r>
        <w:rPr>
          <w:rFonts w:ascii="Arial" w:hAnsi="Arial" w:cs="Arial"/>
          <w:sz w:val="20"/>
          <w:szCs w:val="20"/>
        </w:rPr>
        <w:softHyphen/>
        <w:t>che</w:t>
      </w:r>
      <w:r>
        <w:rPr>
          <w:rFonts w:ascii="Arial" w:hAnsi="Arial" w:cs="Arial"/>
          <w:sz w:val="20"/>
          <w:szCs w:val="20"/>
        </w:rPr>
        <w:softHyphen/>
        <w:t>rungs</w:t>
      </w:r>
      <w:r>
        <w:rPr>
          <w:rFonts w:ascii="Arial" w:hAnsi="Arial" w:cs="Arial"/>
          <w:sz w:val="20"/>
          <w:szCs w:val="20"/>
        </w:rPr>
        <w:softHyphen/>
        <w:t>zei</w:t>
      </w:r>
      <w:r>
        <w:rPr>
          <w:rFonts w:ascii="Arial" w:hAnsi="Arial" w:cs="Arial"/>
          <w:sz w:val="20"/>
          <w:szCs w:val="20"/>
        </w:rPr>
        <w:softHyphen/>
        <w:t>ten von Beamten und Soldaten) unter Verletzung des gebotenen Vertrauensschutzes abgeschafft  und gleich</w:t>
      </w:r>
      <w:r>
        <w:rPr>
          <w:rFonts w:ascii="Arial" w:hAnsi="Arial" w:cs="Arial"/>
          <w:sz w:val="20"/>
          <w:szCs w:val="20"/>
        </w:rPr>
        <w:softHyphen/>
        <w:t>heits</w:t>
      </w:r>
      <w:r>
        <w:rPr>
          <w:rFonts w:ascii="Arial" w:hAnsi="Arial" w:cs="Arial"/>
          <w:sz w:val="20"/>
          <w:szCs w:val="20"/>
        </w:rPr>
        <w:softHyphen/>
        <w:t>wi</w:t>
      </w:r>
      <w:r>
        <w:rPr>
          <w:rFonts w:ascii="Arial" w:hAnsi="Arial" w:cs="Arial"/>
          <w:sz w:val="20"/>
          <w:szCs w:val="20"/>
        </w:rPr>
        <w:softHyphen/>
        <w:t xml:space="preserve">drig zur </w:t>
      </w:r>
      <w:r>
        <w:rPr>
          <w:rFonts w:ascii="Arial" w:hAnsi="Arial" w:cs="Arial"/>
          <w:sz w:val="20"/>
          <w:szCs w:val="20"/>
        </w:rPr>
        <w:lastRenderedPageBreak/>
        <w:t xml:space="preserve">Beamtenversorgung ein isoliertes Punktemodell geschaffen,  womit der Schutz vor einem Absinken der gesetzlichen Rente entfiel und eine gleichheitswidrige Versorgungslücke zur Beamtenversorgung verursacht wurde. 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Das pauschale Näherungsverfahren mit der Unterstellung von 45 Jahren Versicherungszeit in der ge</w:t>
      </w:r>
      <w:r>
        <w:rPr>
          <w:rFonts w:ascii="Arial" w:hAnsi="Arial" w:cs="Arial"/>
          <w:sz w:val="20"/>
          <w:szCs w:val="20"/>
        </w:rPr>
        <w:softHyphen/>
        <w:t>setz</w:t>
      </w:r>
      <w:r>
        <w:rPr>
          <w:rFonts w:ascii="Arial" w:hAnsi="Arial" w:cs="Arial"/>
          <w:sz w:val="20"/>
          <w:szCs w:val="20"/>
        </w:rPr>
        <w:softHyphen/>
        <w:t>li</w:t>
      </w:r>
      <w:r>
        <w:rPr>
          <w:rFonts w:ascii="Arial" w:hAnsi="Arial" w:cs="Arial"/>
          <w:sz w:val="20"/>
          <w:szCs w:val="20"/>
        </w:rPr>
        <w:softHyphen/>
        <w:t>chen Rentenversicherung benachteiligt gleichheitswidrig Frauen.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Eine auf den 31.12.2001 stichtagsbezogene fiktive Steuerklasseneinteilung ist willkürlich und die Abschaffung der vorher als unverfallbar bewerteten Mindestversorgungsrente nach § 44a VBLS (§ 18 BetrAVG a.F.) benachteiligt isoliert Versicherte mit der fiktiven Steuerklasse I.</w:t>
      </w: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Es erfolgt im Gegensatz zum alten Recht eine laufende unverhältnismäßige treuwidrige schleichende Geld</w:t>
      </w:r>
      <w:r>
        <w:rPr>
          <w:rFonts w:ascii="Arial" w:hAnsi="Arial" w:cs="Arial"/>
          <w:sz w:val="20"/>
          <w:szCs w:val="20"/>
        </w:rPr>
        <w:softHyphen/>
        <w:t>ent</w:t>
      </w:r>
      <w:r>
        <w:rPr>
          <w:rFonts w:ascii="Arial" w:hAnsi="Arial" w:cs="Arial"/>
          <w:sz w:val="20"/>
          <w:szCs w:val="20"/>
        </w:rPr>
        <w:softHyphen/>
        <w:t>wer</w:t>
      </w:r>
      <w:r>
        <w:rPr>
          <w:rFonts w:ascii="Arial" w:hAnsi="Arial" w:cs="Arial"/>
          <w:sz w:val="20"/>
          <w:szCs w:val="20"/>
        </w:rPr>
        <w:softHyphen/>
        <w:t>tung der Anwartschaft bis zum Renteneintritt, da die nur vorübergehend vergebenen mi</w:t>
      </w:r>
      <w:r>
        <w:rPr>
          <w:rFonts w:ascii="Arial" w:hAnsi="Arial" w:cs="Arial"/>
          <w:sz w:val="20"/>
          <w:szCs w:val="20"/>
        </w:rPr>
        <w:softHyphen/>
        <w:t>ni</w:t>
      </w:r>
      <w:r>
        <w:rPr>
          <w:rFonts w:ascii="Arial" w:hAnsi="Arial" w:cs="Arial"/>
          <w:sz w:val="20"/>
          <w:szCs w:val="20"/>
        </w:rPr>
        <w:softHyphen/>
        <w:t>ma</w:t>
      </w:r>
      <w:r>
        <w:rPr>
          <w:rFonts w:ascii="Arial" w:hAnsi="Arial" w:cs="Arial"/>
          <w:sz w:val="20"/>
          <w:szCs w:val="20"/>
        </w:rPr>
        <w:softHyphen/>
        <w:t xml:space="preserve">len Bonuspunkte von 0,25% pro Jahr den realen Wertverfall </w:t>
      </w:r>
      <w:proofErr w:type="gramStart"/>
      <w:r>
        <w:rPr>
          <w:rFonts w:ascii="Arial" w:hAnsi="Arial" w:cs="Arial"/>
          <w:sz w:val="20"/>
          <w:szCs w:val="20"/>
        </w:rPr>
        <w:t>nur  be</w:t>
      </w:r>
      <w:r>
        <w:rPr>
          <w:rFonts w:ascii="Arial" w:hAnsi="Arial" w:cs="Arial"/>
          <w:sz w:val="20"/>
          <w:szCs w:val="20"/>
        </w:rPr>
        <w:softHyphen/>
        <w:t>schö</w:t>
      </w:r>
      <w:r>
        <w:rPr>
          <w:rFonts w:ascii="Arial" w:hAnsi="Arial" w:cs="Arial"/>
          <w:sz w:val="20"/>
          <w:szCs w:val="20"/>
        </w:rPr>
        <w:softHyphen/>
        <w:t>ni</w:t>
      </w:r>
      <w:r>
        <w:rPr>
          <w:rFonts w:ascii="Arial" w:hAnsi="Arial" w:cs="Arial"/>
          <w:sz w:val="20"/>
          <w:szCs w:val="20"/>
        </w:rPr>
        <w:softHyphen/>
        <w:t>gen</w:t>
      </w:r>
      <w:proofErr w:type="gramEnd"/>
      <w:r>
        <w:rPr>
          <w:rFonts w:ascii="Arial" w:hAnsi="Arial" w:cs="Arial"/>
          <w:sz w:val="20"/>
          <w:szCs w:val="20"/>
        </w:rPr>
        <w:t>, jedoch nicht stoppen.</w:t>
      </w:r>
    </w:p>
    <w:p w:rsidR="00A24082" w:rsidRDefault="00A24082" w:rsidP="00A2408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0"/>
          <w:szCs w:val="20"/>
        </w:rPr>
      </w:pPr>
    </w:p>
    <w:p w:rsidR="00A24082" w:rsidRDefault="00A24082" w:rsidP="00A24082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:rsidR="001D1FAA" w:rsidRDefault="001D1FAA"/>
    <w:sectPr w:rsidR="001D1FAA" w:rsidSect="00A5509E">
      <w:pgSz w:w="9467" w:h="13663"/>
      <w:pgMar w:top="1644" w:right="969" w:bottom="152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82"/>
    <w:rsid w:val="00043869"/>
    <w:rsid w:val="001D1FAA"/>
    <w:rsid w:val="00A2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C020-8A5F-41D1-8FDA-69238DF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Mathies</dc:creator>
  <cp:keywords/>
  <dc:description/>
  <cp:lastModifiedBy>branga@outlook.de</cp:lastModifiedBy>
  <cp:revision>2</cp:revision>
  <cp:lastPrinted>2018-11-24T04:48:00Z</cp:lastPrinted>
  <dcterms:created xsi:type="dcterms:W3CDTF">2018-12-11T07:58:00Z</dcterms:created>
  <dcterms:modified xsi:type="dcterms:W3CDTF">2018-12-11T07:58:00Z</dcterms:modified>
</cp:coreProperties>
</file>